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7C503D44" w14:textId="77777777" w:rsidTr="00465470">
        <w:tc>
          <w:tcPr>
            <w:tcW w:w="5670" w:type="dxa"/>
          </w:tcPr>
          <w:p w14:paraId="3580919E" w14:textId="77777777" w:rsidR="00666BDD" w:rsidRDefault="00666BDD" w:rsidP="00465470">
            <w:pPr>
              <w:pStyle w:val="af1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2A068C7" wp14:editId="7EE06BF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05F1FB6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D4B43BA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3B72114F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20EDC44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F24EB01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6585816" w14:textId="77777777" w:rsidR="00334165" w:rsidRPr="00B95B16" w:rsidRDefault="00D37DEA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6380BD8" w14:textId="77777777" w:rsidR="00832EBB" w:rsidRPr="00B95B16" w:rsidRDefault="000F0FC3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A8665E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ФИНАНСЫ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F2B6516" w14:textId="77777777" w:rsidR="00D83E4E" w:rsidRPr="00B95B16" w:rsidRDefault="00F067F2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</w:t>
          </w:r>
          <w:r w:rsidR="00A8665E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егионального</w:t>
          </w:r>
          <w:r w:rsidR="00BE2ED0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A8665E" w:rsidRPr="00626A5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ED1F481" w14:textId="3716A4B5" w:rsidR="00334165" w:rsidRPr="00B95B16" w:rsidRDefault="00A034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Республика Башкортостан</w:t>
          </w:r>
        </w:p>
      </w:sdtContent>
    </w:sdt>
    <w:p w14:paraId="779DC7D6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7B0847D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7B7E62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5046BA9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5A30CE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330A4E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1F2D00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0E2A99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585020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AAAB2B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96BB7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A3C6A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082A56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067F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04D1E41" w14:textId="662652B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067F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3B204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98E6493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6B547BF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38E5D67" w14:textId="77777777" w:rsidR="00A4187F" w:rsidRPr="00AF76EA" w:rsidRDefault="00F1426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7A20B4B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…………………………...</w:t>
        </w:r>
        <w:r w:rsidR="00F14263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F14263" w:rsidRPr="00AF76EA">
          <w:rPr>
            <w:noProof/>
            <w:webHidden/>
            <w:sz w:val="28"/>
            <w:szCs w:val="28"/>
          </w:rPr>
        </w:r>
        <w:r w:rsidR="00F14263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F14263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3E97EBAD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A8665E">
          <w:rPr>
            <w:rStyle w:val="ae"/>
            <w:noProof/>
            <w:sz w:val="28"/>
            <w:szCs w:val="28"/>
          </w:rPr>
          <w:t>Финансы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……………………………………………………………………….</w:t>
        </w:r>
        <w:r w:rsidR="00F14263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F14263" w:rsidRPr="00AF76EA">
          <w:rPr>
            <w:noProof/>
            <w:webHidden/>
            <w:sz w:val="28"/>
            <w:szCs w:val="28"/>
          </w:rPr>
        </w:r>
        <w:r w:rsidR="00F14263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F14263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653924DC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……………………………………………….</w:t>
        </w:r>
      </w:hyperlink>
      <w:r w:rsidR="002271C5">
        <w:rPr>
          <w:noProof/>
          <w:sz w:val="28"/>
          <w:szCs w:val="28"/>
        </w:rPr>
        <w:t>14</w:t>
      </w:r>
    </w:p>
    <w:p w14:paraId="5C480408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……………………………………..</w:t>
        </w:r>
      </w:hyperlink>
      <w:r w:rsidR="002271C5">
        <w:rPr>
          <w:noProof/>
          <w:sz w:val="28"/>
          <w:szCs w:val="28"/>
        </w:rPr>
        <w:t>14</w:t>
      </w:r>
    </w:p>
    <w:p w14:paraId="51CF8743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2271C5">
          <w:rPr>
            <w:noProof/>
            <w:webHidden/>
            <w:sz w:val="28"/>
            <w:szCs w:val="28"/>
          </w:rPr>
          <w:t>.</w:t>
        </w:r>
        <w:r w:rsidR="00F10695">
          <w:rPr>
            <w:noProof/>
            <w:webHidden/>
            <w:sz w:val="28"/>
            <w:szCs w:val="28"/>
          </w:rPr>
          <w:t>.</w:t>
        </w:r>
        <w:r w:rsidR="002271C5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218505CF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</w:t>
        </w:r>
        <w:r w:rsidR="00626A5F">
          <w:rPr>
            <w:noProof/>
            <w:webHidden/>
            <w:sz w:val="28"/>
            <w:szCs w:val="28"/>
          </w:rPr>
          <w:t>.</w:t>
        </w:r>
        <w:r w:rsidR="00AF76EA">
          <w:rPr>
            <w:noProof/>
            <w:webHidden/>
            <w:sz w:val="28"/>
            <w:szCs w:val="28"/>
          </w:rPr>
          <w:t>….</w:t>
        </w:r>
        <w:r w:rsidR="002271C5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073CA255" w14:textId="77777777" w:rsidR="00A4187F" w:rsidRPr="00AF76EA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…….</w:t>
        </w:r>
      </w:hyperlink>
      <w:r w:rsidR="002271C5">
        <w:rPr>
          <w:noProof/>
          <w:sz w:val="28"/>
          <w:szCs w:val="28"/>
        </w:rPr>
        <w:t>16</w:t>
      </w:r>
    </w:p>
    <w:p w14:paraId="3C2C38F9" w14:textId="77777777" w:rsidR="00A4187F" w:rsidRPr="002271C5" w:rsidRDefault="009A4EC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</w:hyperlink>
      <w:r w:rsidR="002271C5">
        <w:rPr>
          <w:rFonts w:ascii="Times New Roman" w:hAnsi="Times New Roman"/>
          <w:noProof/>
          <w:sz w:val="28"/>
          <w:lang w:val="ru-RU"/>
        </w:rPr>
        <w:t>22</w:t>
      </w:r>
    </w:p>
    <w:p w14:paraId="079274BD" w14:textId="77777777" w:rsidR="00A4187F" w:rsidRPr="002271C5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………………………………………...</w:t>
        </w:r>
      </w:hyperlink>
      <w:r w:rsidR="002271C5">
        <w:rPr>
          <w:noProof/>
          <w:sz w:val="28"/>
          <w:szCs w:val="28"/>
        </w:rPr>
        <w:t>23</w:t>
      </w:r>
    </w:p>
    <w:p w14:paraId="189526B1" w14:textId="77777777" w:rsidR="00A4187F" w:rsidRPr="002271C5" w:rsidRDefault="009A4EC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.</w:t>
        </w:r>
      </w:hyperlink>
      <w:r w:rsidR="002271C5">
        <w:rPr>
          <w:noProof/>
          <w:sz w:val="28"/>
          <w:szCs w:val="28"/>
        </w:rPr>
        <w:t>23</w:t>
      </w:r>
    </w:p>
    <w:p w14:paraId="2CFA1856" w14:textId="77777777" w:rsidR="00A4187F" w:rsidRPr="002271C5" w:rsidRDefault="009A4EC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</w:t>
        </w:r>
        <w:r w:rsidR="002271C5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</w:hyperlink>
      <w:r w:rsidR="002271C5">
        <w:rPr>
          <w:rFonts w:ascii="Times New Roman" w:hAnsi="Times New Roman"/>
          <w:noProof/>
          <w:sz w:val="28"/>
          <w:lang w:val="ru-RU"/>
        </w:rPr>
        <w:t>23</w:t>
      </w:r>
    </w:p>
    <w:p w14:paraId="11847263" w14:textId="77777777" w:rsidR="00AA2B8A" w:rsidRPr="00A204BB" w:rsidRDefault="00F14263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124FCF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309174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ECFA5B6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150E8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DC5CD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E181E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40B1A4" w14:textId="77777777" w:rsidR="00AA2B8A" w:rsidRDefault="00AA2B8A" w:rsidP="00D83E4E">
      <w:pPr>
        <w:pStyle w:val="-2"/>
        <w:rPr>
          <w:lang w:eastAsia="ru-RU"/>
        </w:rPr>
      </w:pPr>
    </w:p>
    <w:p w14:paraId="63EBA1B0" w14:textId="77777777" w:rsidR="00465470" w:rsidRDefault="00465470" w:rsidP="00D83E4E">
      <w:pPr>
        <w:pStyle w:val="-2"/>
        <w:rPr>
          <w:lang w:eastAsia="ru-RU"/>
        </w:rPr>
      </w:pPr>
    </w:p>
    <w:p w14:paraId="61A6D739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9B80F8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0AF8D13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– программное обеспечение</w:t>
      </w:r>
    </w:p>
    <w:p w14:paraId="49C3E9B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НК РФ – Налоговый кодекс Российской Федерации</w:t>
      </w:r>
    </w:p>
    <w:p w14:paraId="7BEA0D2F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ФЦП – федеральные целевые программы</w:t>
      </w:r>
    </w:p>
    <w:p w14:paraId="5D08C001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НДС – налог на добавленную стоимость</w:t>
      </w:r>
    </w:p>
    <w:p w14:paraId="33BAD0FD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НДФЛ – налог на доходы физического лица</w:t>
      </w:r>
    </w:p>
    <w:p w14:paraId="20F03F9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ПФХД – план финансово-хозяйственной деятельности</w:t>
      </w:r>
    </w:p>
    <w:p w14:paraId="3BC48136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ФХД – финансово-хозяйственная деятельность</w:t>
      </w:r>
    </w:p>
    <w:p w14:paraId="7C9DCA0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НМЦК – начальная максимальная цена контракта</w:t>
      </w:r>
    </w:p>
    <w:p w14:paraId="4C5C97CE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738A044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72690FCA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438FB656" w14:textId="674063CA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3B2049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7B52E81E" w14:textId="2C411B65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8665E">
        <w:rPr>
          <w:rFonts w:ascii="Times New Roman" w:hAnsi="Times New Roman" w:cs="Times New Roman"/>
          <w:sz w:val="28"/>
          <w:szCs w:val="28"/>
        </w:rPr>
        <w:t>Финансы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69FAFCD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7280A57" w14:textId="58C4B174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6216E4B" w14:textId="0CD89F16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B91000D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4BBAD2A" w14:textId="6D5BD0B4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3B2049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3EEF182C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A8665E">
        <w:rPr>
          <w:rFonts w:ascii="Times New Roman" w:hAnsi="Times New Roman"/>
          <w:szCs w:val="28"/>
        </w:rPr>
        <w:t>Финансы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757F29BF" w14:textId="76626EB1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3B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A9229E">
        <w:rPr>
          <w:rFonts w:ascii="Times New Roman" w:hAnsi="Times New Roman" w:cs="Times New Roman"/>
          <w:iCs/>
          <w:sz w:val="28"/>
          <w:szCs w:val="28"/>
        </w:rPr>
        <w:t>из ФГОС/ПС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717575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DB3C0B9" w14:textId="77777777" w:rsidR="00E90804" w:rsidRDefault="00E90804" w:rsidP="00E908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3F57463" w14:textId="77777777" w:rsidR="00E90804" w:rsidRDefault="00E90804" w:rsidP="00E908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9"/>
        <w:gridCol w:w="2119"/>
      </w:tblGrid>
      <w:tr w:rsidR="00E90804" w14:paraId="6D1D4EB2" w14:textId="77777777" w:rsidTr="00E90804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A7EEB7C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21CAEA4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164A510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E90804" w14:paraId="5453FCE5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60F47C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E939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и бережливое производство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280A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804" w14:paraId="6B2563C5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C14C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4DDC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DCCD52D" w14:textId="77777777" w:rsidR="008F0387" w:rsidRDefault="008F0387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ормативную правовую база в сфере охраны труда, трудового законодательства Российской Федерации, законодательство Российской Федерации о техническом регулировании, о промышленной, пожарной, транспортной,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радиационной, конструкционной, химической, биологической безопасности, о санитарно-эпидемиологическом благополучии населения;</w:t>
            </w:r>
          </w:p>
          <w:p w14:paraId="761AFA88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делопроизводство и методические документы по вопросам охраны труда;</w:t>
            </w:r>
          </w:p>
          <w:p w14:paraId="040A35C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правила, способы и методики контроля соответствия технического состояния оборудования требованиям безопасного ведения работ;</w:t>
            </w:r>
          </w:p>
          <w:p w14:paraId="16BE159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иповой перечень мероприятий по улучшению условий и охраны труда и снижению уровней профессиональных рисков;</w:t>
            </w:r>
          </w:p>
          <w:p w14:paraId="154F3D31" w14:textId="77777777" w:rsidR="008F0387" w:rsidRDefault="00A9229E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санитарно-гигиенические требования к условиям труда;</w:t>
            </w:r>
          </w:p>
          <w:p w14:paraId="1BEB3388" w14:textId="77777777" w:rsidR="00AB0F3E" w:rsidRDefault="00AB0F3E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сущность и принципы бережливого производства;</w:t>
            </w:r>
          </w:p>
          <w:p w14:paraId="29249AC3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компьютерные программы </w:t>
            </w:r>
            <w:r w:rsidR="001551D4">
              <w:rPr>
                <w:rFonts w:ascii="Times New Roman" w:hAnsi="Times New Roman" w:cs="Times New Roman"/>
                <w:sz w:val="24"/>
                <w:szCs w:val="24"/>
              </w:rPr>
              <w:t>и специализированное программное обеспечение в финансовой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1E0B6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формулы, функции и инструменты Excel;</w:t>
            </w:r>
          </w:p>
          <w:p w14:paraId="6C2696F5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 и графиков в специализированном ПО;</w:t>
            </w:r>
          </w:p>
          <w:p w14:paraId="1F7A2420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обмена информацией по телекоммуникационным каналам связи;</w:t>
            </w:r>
          </w:p>
          <w:p w14:paraId="2BC8A17D" w14:textId="77777777" w:rsidR="00AB0F3E" w:rsidRDefault="00E90804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современные технологии автоматизированной обработки информации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8054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и методы экономии в производственных условиях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1FA94C" w14:textId="77777777" w:rsidR="00AB0F3E" w:rsidRPr="008F0387" w:rsidRDefault="00AB0F3E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оптимизации финансовых потоков.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920A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0D34BFC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6A1D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A397" w14:textId="77777777" w:rsidR="0019355E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990B584" w14:textId="77777777" w:rsidR="0019355E" w:rsidRPr="00F973EF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рименять государственные нормативные требования охраны труда при разработке локальных нормативных актов;</w:t>
            </w:r>
          </w:p>
          <w:p w14:paraId="1F9064BE" w14:textId="77777777" w:rsidR="0019355E" w:rsidRPr="00F973EF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документацию по вопросам безопасности и охране труда;</w:t>
            </w:r>
          </w:p>
          <w:p w14:paraId="0175940F" w14:textId="77777777" w:rsidR="0019355E" w:rsidRPr="0019355E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требования в области безопасности и охраны труда;</w:t>
            </w:r>
          </w:p>
          <w:p w14:paraId="16BDBE6C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вести контроль за соблюдением сотрудниками требований в области безопасности и охраны труда;</w:t>
            </w:r>
          </w:p>
          <w:p w14:paraId="083EE6D8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методы идентификации опасностей и оценки профессиональных рисков;</w:t>
            </w:r>
          </w:p>
          <w:p w14:paraId="702A8E85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разрабатывать мероприятия по улучшению условий и охраны труда;</w:t>
            </w:r>
          </w:p>
          <w:p w14:paraId="2BAA86A8" w14:textId="77777777" w:rsidR="00AB0F3E" w:rsidRPr="00F973EF" w:rsidRDefault="00AB0F3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принципы бережливого производства;</w:t>
            </w:r>
          </w:p>
          <w:p w14:paraId="47FCA057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информационные технологии в процессе осуществления финансовых операций;</w:t>
            </w:r>
          </w:p>
          <w:p w14:paraId="41A0041E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информационными и справочно-правовыми системами, оргтехникой;</w:t>
            </w:r>
          </w:p>
          <w:p w14:paraId="32CADCEC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таблицы и графики в специализированном ПО;</w:t>
            </w:r>
          </w:p>
          <w:p w14:paraId="2B8A2466" w14:textId="77777777" w:rsidR="0019355E" w:rsidRDefault="00E90804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при расчетах формулы, функции и другие инструменты в Excel</w:t>
            </w:r>
            <w:r w:rsidR="001C7C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32EA6" w14:textId="77777777" w:rsidR="001C7C47" w:rsidRPr="00F973EF" w:rsidRDefault="0019355E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1C7C47" w:rsidRPr="00F973EF">
              <w:rPr>
                <w:rFonts w:ascii="Times New Roman" w:hAnsi="Times New Roman" w:cs="Times New Roman"/>
                <w:sz w:val="24"/>
                <w:szCs w:val="24"/>
              </w:rPr>
              <w:t>азрабатывать меры по обеспечению режима экономии</w:t>
            </w:r>
            <w:r w:rsidR="00F973EF" w:rsidRPr="00F97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18F17" w14:textId="77777777" w:rsidR="00AB0F3E" w:rsidRPr="0019355E" w:rsidRDefault="00AB0F3E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выявлять и устранять потери в производственных условиях</w:t>
            </w:r>
            <w:r w:rsidR="00F973EF" w:rsidRPr="00F9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37B3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BA0AC0F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BADB837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F30B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расчетов и анализ финансово-экономических показателей, идентификация финансовых рисков предприятия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B766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90804" w14:paraId="3DB8BF4D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5736B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C402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AC16F8C" w14:textId="77777777" w:rsidR="008D44D1" w:rsidRPr="00F973EF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44D1"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ормативные правовые акты, регулирующие финансово-хозяйственную деятельность организации; </w:t>
            </w:r>
          </w:p>
          <w:p w14:paraId="59E11A23" w14:textId="77777777" w:rsidR="008D44D1" w:rsidRPr="00F973EF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методы оптимизации использования материальных, трудовых и финансовых ресурсов; </w:t>
            </w:r>
          </w:p>
          <w:p w14:paraId="2BB4871C" w14:textId="77777777" w:rsidR="00E90804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техники;</w:t>
            </w:r>
          </w:p>
          <w:p w14:paraId="47B0013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характеристику капитала организации и его элементов, принципы оптимизации структуры капитала;</w:t>
            </w:r>
          </w:p>
          <w:p w14:paraId="462B256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характеристику доходов и расходов организации;</w:t>
            </w:r>
          </w:p>
          <w:p w14:paraId="0046770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сущность и виды прибыли организации;</w:t>
            </w:r>
          </w:p>
          <w:p w14:paraId="2A51DBA8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рентабельности;</w:t>
            </w:r>
          </w:p>
          <w:p w14:paraId="21647CC6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 показателей ликвидности и платежеспособности;</w:t>
            </w:r>
          </w:p>
          <w:p w14:paraId="2713776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финансовой устойчивости;</w:t>
            </w:r>
          </w:p>
          <w:p w14:paraId="30D831C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деловой активности (оборачиваемости);</w:t>
            </w:r>
          </w:p>
          <w:p w14:paraId="70F9D809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и методы анализа финансово-хозяйственной деятельности;</w:t>
            </w:r>
          </w:p>
          <w:p w14:paraId="3BE1B51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методики оценки вероятности наступления банкротства;</w:t>
            </w:r>
          </w:p>
          <w:p w14:paraId="5CEC71A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методологию финансового планирования деятельности организации;</w:t>
            </w:r>
          </w:p>
          <w:p w14:paraId="75D09550" w14:textId="77777777" w:rsidR="008D44D1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финансовых рисков;</w:t>
            </w:r>
          </w:p>
          <w:p w14:paraId="5DFD1E1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снижения (предотвращения) финансовых рисков;</w:t>
            </w:r>
          </w:p>
          <w:p w14:paraId="527928B5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составлению отчетов для финансового управленческого учета;</w:t>
            </w:r>
          </w:p>
          <w:p w14:paraId="0D1B905B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разработки и осуществления мер, направленных на повышение эффективности использования финансовых ресурсов;</w:t>
            </w:r>
          </w:p>
          <w:p w14:paraId="757DBC69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методы и способы предотвращения/устранения рисков;</w:t>
            </w:r>
          </w:p>
          <w:p w14:paraId="73B201AD" w14:textId="77777777" w:rsidR="00AA7D9B" w:rsidRDefault="00AA7D9B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планирование, анализ и контроль финансово-хозяйственной деятельности объектов финансового контроля.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3BAB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7676325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BEF1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18D0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1CDC7B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нормативные правовые акты, регулирующие финансовую деятельность организаций;</w:t>
            </w:r>
          </w:p>
          <w:p w14:paraId="2E749852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проводить группировку статистических данных экономических явлений;</w:t>
            </w:r>
          </w:p>
          <w:p w14:paraId="4A044287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методики определения финансово-экономической эффективности производства;</w:t>
            </w:r>
          </w:p>
          <w:p w14:paraId="20790C7D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финансово-экономические показатели, характеризующие деятельность организации; </w:t>
            </w:r>
          </w:p>
          <w:p w14:paraId="5EE0C9E9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решений; </w:t>
            </w:r>
          </w:p>
          <w:p w14:paraId="70AED9D1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для решения аналитических и исследовательских задач современные технические средства и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технологии;</w:t>
            </w:r>
          </w:p>
          <w:p w14:paraId="7EE70F86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цену капитала организации, оценивать эффективность использования отдельных его элементов;</w:t>
            </w:r>
          </w:p>
          <w:p w14:paraId="014B7767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потребность в оборотных средствах, проводить мероприятия по ускорению оборачиваемости оборотных средств;</w:t>
            </w:r>
          </w:p>
          <w:p w14:paraId="4730574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инвестиционную политику организации, разрабатывать инвестиционные проекты, проводить оценку эффективности инвестиционных проектов;</w:t>
            </w:r>
          </w:p>
          <w:p w14:paraId="2491F73F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методики оценки вероятности наступления банкротства;</w:t>
            </w:r>
          </w:p>
          <w:p w14:paraId="0EC6FBC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финансовое планирование деятельности организаций;</w:t>
            </w:r>
          </w:p>
          <w:p w14:paraId="02B53372" w14:textId="77777777" w:rsidR="00597E63" w:rsidRPr="00F973EF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E63"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количественную статистическую оценку финансовых рисков на основе фактических событий базы рисковых событий; </w:t>
            </w:r>
          </w:p>
          <w:p w14:paraId="7C835A7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необходимость использования кредитных ресурсов, осуществлять технико-экономическое обоснование кредита;</w:t>
            </w:r>
          </w:p>
          <w:p w14:paraId="5631FD4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государственной (муниципальной) финансовой поддержки по целевому назначению, анализировать эффективность их использования;</w:t>
            </w:r>
          </w:p>
          <w:p w14:paraId="56CE047A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предлагать мероприятия по повышению эффективности финансового управления и предотвращению/устранению рисков;</w:t>
            </w:r>
          </w:p>
          <w:p w14:paraId="388E8FF1" w14:textId="77777777" w:rsidR="00AA7D9B" w:rsidRDefault="00AA7D9B" w:rsidP="00AA7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анализа, риски и мероприятия в отчеты в целях управленческого финансового отчета.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DF4D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D64154D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533192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6A1918B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63B9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выводов и разработка мероприятий по повышению эффективности управления финансами и устранению рисков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B56E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90804" w14:paraId="10B79587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0ABC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8704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FF2918D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7CD7" w:rsidRPr="00F973E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и отраслевые стандарты по управлению финансовыми рисками; базовые положения международных стандартов по риск-менеджменту и смежным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C693AF" w14:textId="77777777" w:rsidR="006B7CD7" w:rsidRDefault="006B7CD7" w:rsidP="006B7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перспективных и годовых планов хозяйственно-финансовой и производственной деятельности организации;</w:t>
            </w:r>
          </w:p>
          <w:p w14:paraId="681C62A9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нормативные и иные акты, регламентирующие деятельность органов, осуществляющих финансовый контроль;</w:t>
            </w:r>
          </w:p>
          <w:p w14:paraId="2401CF2E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структуру, полномочия и методы работы органов, осуществляющих финансовый контроль, порядок их взаимодействия;</w:t>
            </w:r>
          </w:p>
          <w:p w14:paraId="7475CCC2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и проведения контрольных мероприятий органами, осуществляющими финансовый контроль;</w:t>
            </w:r>
          </w:p>
          <w:p w14:paraId="663D1F64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методики проведения экономического анализа финансово-хозяйственной деятельности объектов финансового контроля;</w:t>
            </w:r>
          </w:p>
          <w:p w14:paraId="51EA3557" w14:textId="77777777" w:rsidR="006B7CD7" w:rsidRPr="006B7CD7" w:rsidRDefault="00E90804" w:rsidP="006B7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 бухгалтерской, финансовой и статистической отчетности объектов финансового контроля</w:t>
            </w:r>
            <w:r w:rsidR="006B7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27AB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742AB19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1DAD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7A8C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FD1AB5" w14:textId="77777777" w:rsidR="006B7CD7" w:rsidRDefault="006B7C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решений;</w:t>
            </w:r>
          </w:p>
          <w:p w14:paraId="7DF6876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проверки, ревизии финансово-хозяйственной деятельности объектов финансового контроля в соответствии с видом и программой контрольного мероприятия;</w:t>
            </w:r>
          </w:p>
          <w:p w14:paraId="75B4E80F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различные методы и приемы контроля и анализа финансово-хозяйственной деятельности объектов финансового контроля;</w:t>
            </w:r>
          </w:p>
          <w:p w14:paraId="38377478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внутренний контроль и аудит с учетом особенностей организаций;</w:t>
            </w:r>
          </w:p>
          <w:p w14:paraId="427C0486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выводы, давать экономическую интерпретацию рассчитанным показателям;</w:t>
            </w:r>
          </w:p>
          <w:p w14:paraId="2AC655DC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проведенных контрольных мероприятий путем составления актов и справок;</w:t>
            </w:r>
          </w:p>
          <w:p w14:paraId="15D88FD9" w14:textId="77777777" w:rsidR="00E90804" w:rsidRDefault="00E90804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реализацией материалов проведенных ревизий и проверок</w:t>
            </w:r>
            <w:r w:rsidR="006B7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1330C7" w14:textId="77777777" w:rsidR="006B7CD7" w:rsidRPr="00F973EF" w:rsidRDefault="006B7CD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определять и применять на практике эффективные методы визуализации финансовых рисков организации (в том числе методы построения портфеля, реестра, карты рисков) совместно с ответственными за риск сотрудниками - собственниками риска, оказывать помощь ответственным за финансовый риск сотрудникам в правильной идентификации (описании, измерении и оценке) финансовых рисков.</w:t>
            </w:r>
          </w:p>
          <w:p w14:paraId="6B431DEE" w14:textId="77777777" w:rsidR="006B7CD7" w:rsidRPr="00F973EF" w:rsidRDefault="006B7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12EC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791CF9F4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AA9CDE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F917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применения законодательства и анализ бюджета муниципального образования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DEB8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0A1C" w14:paraId="59F740F2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FFEC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EB5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434EE1B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законодательные и иные нормативные правовые акты, регулирующие деятельность органов государственной власти и органов местного самоуправления по вопросам организации бюджетного процесса, межбюджетных отношений, финансово-экономического планирования;</w:t>
            </w:r>
          </w:p>
          <w:p w14:paraId="3D9F58CD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 бюджетной системы Российской Федерации, принципы ее построения;</w:t>
            </w:r>
          </w:p>
          <w:p w14:paraId="251E85E5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участников бюджетного процесса Российской Федерации, субъектов Российской Федерации и муниципальных образований и их полномочия;</w:t>
            </w:r>
          </w:p>
          <w:p w14:paraId="1F03585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сущность и структуру бюджетной классификации Российской Федерации и порядок ее применения;</w:t>
            </w:r>
          </w:p>
          <w:p w14:paraId="5E61CE2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формирования доходов и расходов бюджетов бюджетной системы Российской Федерации и основы их - разграничения между звеньями бюджетной системы;</w:t>
            </w:r>
          </w:p>
          <w:p w14:paraId="692DF33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определения дефицита бюджетов бюджетной системы Российской Федерации и источников его финансирования;</w:t>
            </w:r>
          </w:p>
          <w:p w14:paraId="22D7C73E" w14:textId="77777777" w:rsidR="00F10A1C" w:rsidRPr="00641786" w:rsidRDefault="00F10A1C" w:rsidP="006417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источники финансирования дефицита бюджета</w:t>
            </w:r>
            <w:r w:rsidR="00641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5596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1C" w14:paraId="1436BDA8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5B80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4AAA" w14:textId="77777777" w:rsidR="00F10A1C" w:rsidRPr="00F973EF" w:rsidRDefault="00F10A1C" w:rsidP="00267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9EF3DB1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бюджетную классификацию Российской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в профессиональной деятельности; </w:t>
            </w:r>
          </w:p>
          <w:p w14:paraId="5A1E7249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 плановых показателей по доходам бюджетов публично-правовых образований; </w:t>
            </w:r>
          </w:p>
          <w:p w14:paraId="5D134331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определять дефицит бюджета и источники его финансирования;</w:t>
            </w:r>
          </w:p>
          <w:p w14:paraId="4705A57D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аналитические расчеты по доходам и расходам бюджетов публично-правовых образований; </w:t>
            </w:r>
          </w:p>
          <w:p w14:paraId="3EAA7B76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использовать бюджетное законодательство, подзаконные нормативные правовые акты, регулирующие деятельность органов государственной власти и органов местного самоуправления по вопросам организации бюджетного процесса, по исполнению бюджета, межбюджетных отношений, в своей профессиональной деятельности</w:t>
            </w:r>
            <w:r w:rsidR="00F9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F298C" w14:textId="77777777" w:rsidR="00267847" w:rsidRPr="00267847" w:rsidRDefault="00267847" w:rsidP="00267847">
            <w:pPr>
              <w:spacing w:after="0" w:line="240" w:lineRule="auto"/>
              <w:jc w:val="both"/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A4DE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489ABBB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31683D1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9BBA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Планирование, исполнение и контроль основных показателей бюджета муниципального образования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0E41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10A1C" w14:paraId="78192783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EFC9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DD7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210A5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и условия предоставления межбюджетных трансфертов из федерального бюджета, бюджетов субъектов Российской Федерации и местных бюджетов;</w:t>
            </w:r>
          </w:p>
          <w:p w14:paraId="2996FCA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составления, рассмотрения и утверждения бюджетов бюджетной системы Российской Федерации;</w:t>
            </w:r>
          </w:p>
          <w:p w14:paraId="20678A55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исполнения бюджетов бюджетной системы Российской Федерации;</w:t>
            </w:r>
          </w:p>
          <w:p w14:paraId="3F32956D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составления и ведения сводной бюджетной росписи;</w:t>
            </w:r>
          </w:p>
          <w:p w14:paraId="129B596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процедуры исполнения бюджетов бюджетной системы Российской Федерации по доходам и расходам;</w:t>
            </w:r>
          </w:p>
          <w:p w14:paraId="6CC29AD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кассового обслуживания исполнения бюджетов бюджетной системы Российской Федерации;</w:t>
            </w:r>
          </w:p>
          <w:p w14:paraId="00BB07B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методы планирования бюджетов бюджетной системы РФ;</w:t>
            </w:r>
          </w:p>
          <w:p w14:paraId="2222E63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мониторинга исполнения бюджетов бюджетной системы Российской Федерации, бюджетных смет и планов бюджетных и автономных учреждений;</w:t>
            </w:r>
          </w:p>
          <w:p w14:paraId="2FE5DE4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14:paraId="208D7ED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мониторинга устранения выявленных нарушений, недостатков и рисков;</w:t>
            </w:r>
          </w:p>
          <w:p w14:paraId="6F488211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контрольные мероприятия в ходе реализации процедур по исполнению бюджетов бюджетной системы Российской Федерации;</w:t>
            </w:r>
          </w:p>
          <w:p w14:paraId="4BB2BAF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целевые федеральные программы.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ECBF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1C" w14:paraId="5744AF5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BB68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777F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B84209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государственные (муниципальные) задания для государственных (муниципальных) учреждений с использованием базовых и ведомственных перечней государственных (муниципального) услуг и работ и определять размеры субсидий;</w:t>
            </w:r>
          </w:p>
          <w:p w14:paraId="36E26E49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реестры расходных обязательств муниципального образования;</w:t>
            </w:r>
          </w:p>
          <w:p w14:paraId="27ADB9EB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</w:t>
            </w:r>
          </w:p>
          <w:p w14:paraId="4EC22637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проектов бюджетов бюджетной системы Российской Федерации;</w:t>
            </w:r>
          </w:p>
          <w:p w14:paraId="0940EE84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исполнения бюджетов бюджетной системы Российской Федерации;</w:t>
            </w:r>
          </w:p>
          <w:p w14:paraId="1B0AEBF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целевых программ, финансируемых из бюджетов бюджетной системы Российской Федерации;</w:t>
            </w:r>
          </w:p>
          <w:p w14:paraId="0D0B0414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сводную бюджетную роспись;</w:t>
            </w:r>
          </w:p>
          <w:p w14:paraId="7AA8203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платежные документы (электронные заявки на кассовые расходы и платежные поручения) для проведения кассовых выплат;</w:t>
            </w:r>
          </w:p>
          <w:p w14:paraId="1EE903F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проверку платежных документов получателя бюджетных средств, представленных для проведения кассовых выплат;</w:t>
            </w:r>
          </w:p>
          <w:p w14:paraId="6C4941A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14:paraId="51680B8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формированием и использованием средств бюджетов бюджетной системы Российской Федерации;</w:t>
            </w:r>
          </w:p>
          <w:p w14:paraId="1F8F9AC1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программное обеспечение при организации и осуществлении финансового контроля;</w:t>
            </w:r>
          </w:p>
          <w:p w14:paraId="6330ADF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устранения выявленных нарушений, недостатков и рисков в бюджетной сфере;</w:t>
            </w:r>
          </w:p>
          <w:p w14:paraId="5D8F8E8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предварительный и текущий контроль за операциями по исполнению бюджетов;</w:t>
            </w:r>
          </w:p>
          <w:p w14:paraId="675B1BF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подготавливать рекомендации, направленные на повышение эффективности использования средств бюджетов бюджетной системы Российской Федерации;</w:t>
            </w:r>
          </w:p>
          <w:p w14:paraId="2D4DC86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мероприятия по предупреждению, выявлению и пресечению нарушений законодательства Российской Федерации в сфере финансо</w:t>
            </w:r>
            <w:r w:rsidR="00F973E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C4D4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B6BD717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1076A89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B9A7" w14:textId="77777777" w:rsidR="00E90804" w:rsidRDefault="00155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расчетов по налогообложению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F1C4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59A1" w14:paraId="773E671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5849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B492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6862CE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законодательство и иные нормативные правовые акты о налогах, сборах и страховых взносах;</w:t>
            </w:r>
          </w:p>
          <w:p w14:paraId="5474F73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нормативные правовые акты, определяющие порядок исчисления и уплаты налоговых и других обязательных платежей в бюджеты бюджетной системы Российской Федерации;</w:t>
            </w:r>
          </w:p>
          <w:p w14:paraId="263D4217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налоговой базы для исчисления и уплаты налогов, сборов и страховых взносов;</w:t>
            </w:r>
          </w:p>
          <w:p w14:paraId="171D33E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элементы налогообложения, источники уплаты налогов, сборов и страховых взносов;</w:t>
            </w:r>
          </w:p>
          <w:p w14:paraId="565D5D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базы для расчетов страховых взносов в бюджеты государственных внебюджетных фондов Российской Федерации;</w:t>
            </w:r>
          </w:p>
          <w:p w14:paraId="56D4A6C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ставки налогов и сборов, тарифы страховых взносов;</w:t>
            </w:r>
          </w:p>
          <w:p w14:paraId="3710391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- налоговые льготы, используемые при определении налоговой базы и исчислении налогов и сборов;</w:t>
            </w:r>
          </w:p>
          <w:p w14:paraId="046B757D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исчисления и перечисления в бюджет налогов, сборов и страховых взносов и сроки их уплаты;</w:t>
            </w:r>
          </w:p>
          <w:p w14:paraId="2986E42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заполнения платежных поручений по перечислению налогов, сборов, страховых взносов и других обязательных платежей в бюджеты бюджетной системы Российской Федерации;</w:t>
            </w:r>
          </w:p>
          <w:p w14:paraId="36EA5D7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и представления налоговой отчетности;</w:t>
            </w:r>
          </w:p>
          <w:p w14:paraId="580F8C45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и представления отчетности по уплате страховых взносов</w:t>
            </w:r>
            <w:r w:rsidR="007557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1333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6DD704DF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B5D9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0D3D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9EEBAF9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применять законодательство Российской Федерации о налогах и сборах в целях исполнения налоговых обязанностей;</w:t>
            </w:r>
          </w:p>
          <w:p w14:paraId="4687A5D1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положения учетной политики организации для целей налогообложения; </w:t>
            </w:r>
          </w:p>
          <w:p w14:paraId="5CF12814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вести налоговый учет доходов, расходов, объектов налогообложения; </w:t>
            </w:r>
          </w:p>
          <w:p w14:paraId="2A9B6959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налоговую базу по налогам; </w:t>
            </w:r>
          </w:p>
          <w:p w14:paraId="27254C42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базу для исчисления страховых взносов; </w:t>
            </w:r>
          </w:p>
          <w:p w14:paraId="5CEB3A0B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налоговые ставки; </w:t>
            </w:r>
          </w:p>
          <w:p w14:paraId="471EAF6F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тарифы страховых взносов; </w:t>
            </w:r>
          </w:p>
          <w:p w14:paraId="7F3CFD54" w14:textId="77777777" w:rsidR="003659A1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исчислять суммы налогов, сборов, страховых взносов в соответствии с законодательством Российской Федерации о налогах, сборах.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6EB5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7D32B23C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CE2C729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5C51" w14:textId="77777777" w:rsidR="00E90804" w:rsidRDefault="00155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финансового контроля и мониторинга в сфере налогообложения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62F9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59A1" w14:paraId="06E0FEE9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A87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18F9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55D017" w14:textId="77777777" w:rsidR="003659A1" w:rsidRDefault="003659A1" w:rsidP="003659A1">
            <w:pPr>
              <w:pStyle w:val="aff1"/>
              <w:widowControl w:val="0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- нормативные правовые акты, регулирующие отношения в области организации налогового контроля;</w:t>
            </w:r>
          </w:p>
          <w:p w14:paraId="441CCEB5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проведения налогового контроля в форме налогового мониторинга;</w:t>
            </w:r>
          </w:p>
          <w:p w14:paraId="2032D31E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коды бюджетной классификации для определенных налогов, сборов и страховых взносов, а также пеней и штрафов;</w:t>
            </w:r>
          </w:p>
          <w:p w14:paraId="58D9E5D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заполнения налоговых деклараций и расчетов и сроки их представления;</w:t>
            </w:r>
          </w:p>
          <w:p w14:paraId="3A52341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расчетов пеней и штрафов;</w:t>
            </w:r>
          </w:p>
          <w:p w14:paraId="7EA4C31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процедуру проведения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</w:t>
            </w:r>
          </w:p>
          <w:p w14:paraId="11DD7C2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содержание, основные элементы и систему организации налогового контроля;</w:t>
            </w:r>
          </w:p>
          <w:p w14:paraId="78F00D7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проведения налогового контроля и меры ответственности за совершение налоговых правонарушений;</w:t>
            </w:r>
          </w:p>
          <w:p w14:paraId="2C41D517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проведения камеральных и выездных налоговых проверок;</w:t>
            </w:r>
          </w:p>
          <w:p w14:paraId="7498B030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виды программного обеспечения, используемого при осуществлении расчетов по платежам в бюджеты бюджетной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системы Российской Федерации.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3AA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09D6CA84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F56F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4D10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E7418F6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ориентироваться в законодательных и иных нормативных правовых актах, определяющих порядок организации налогового контроля;</w:t>
            </w:r>
          </w:p>
          <w:p w14:paraId="36EE528C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контроль за своевременностью и полнотой уплаты налогов, сборов и страховых взносов в форме налогового мониторинга;</w:t>
            </w:r>
          </w:p>
          <w:p w14:paraId="6FE197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применять положения международных договоров об устранении двойного налогообложения;</w:t>
            </w:r>
          </w:p>
          <w:p w14:paraId="3C79C74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выбирать и применять коды бюджетной классификации для определения налогов, сборов и страховых взносов, а также пеней и штрафов;</w:t>
            </w:r>
          </w:p>
          <w:p w14:paraId="26DE8A4B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соблюдать сроки и порядок начисления и уплаты налогов, сборов и страховых взносов;</w:t>
            </w:r>
          </w:p>
          <w:p w14:paraId="426C2C1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заполнять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внебюджетные фонды;</w:t>
            </w:r>
          </w:p>
          <w:p w14:paraId="4AE5890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выполнять контрольные процедуры в целях обеспечения соблюдения законодательства о налогах, сборах и страховых взносах;</w:t>
            </w:r>
          </w:p>
          <w:p w14:paraId="62C70E1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</w:t>
            </w:r>
          </w:p>
          <w:p w14:paraId="097355F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оценивать правильность проведения и учета финансово-хозяйственных операций;</w:t>
            </w:r>
          </w:p>
          <w:p w14:paraId="28B538D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вырабатывать по результатам внутреннего контроля эффективные рекомендации по устранению выявленных нарушений налогового законодательства;</w:t>
            </w:r>
          </w:p>
          <w:p w14:paraId="4B51BF8F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использовать программное обеспечение в налоговых расчетах.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A0AD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15B21A5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023F03D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162C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основных направлений внутреннего контроля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70CB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59A1" w14:paraId="23A180F8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8131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353B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01D8CC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особенности правового положения казенных, бюджетных и автономных учреждений;</w:t>
            </w:r>
          </w:p>
          <w:p w14:paraId="2EE6E51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государственного (муниципального) задания и определения размеров субсидий, выделяемых из бюджетов бюджетной системы Российской Федерации;</w:t>
            </w:r>
          </w:p>
          <w:p w14:paraId="6AEED102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действующие нормативные правовые акты, регулирующие порядок планирования и финансирования деятельности государственных и муниципальных учреждений;</w:t>
            </w:r>
          </w:p>
          <w:p w14:paraId="66D5220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типы государственных и муниципальных учреждений и порядок их деятельности;</w:t>
            </w:r>
          </w:p>
          <w:p w14:paraId="19873A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расчета основных показателей деятельности государственных и муниципальных учреждений;</w:t>
            </w:r>
          </w:p>
          <w:p w14:paraId="73D7CB9E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установления и применения систем оплаты труда работников государственных и муниципальных учреждений;</w:t>
            </w:r>
          </w:p>
          <w:p w14:paraId="38AB5C9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- методику определения расходов на оплату труда и других затрат на содержание учреждений;</w:t>
            </w:r>
          </w:p>
          <w:p w14:paraId="210AFD5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составления, утверждения и ведения бюджетных смет казенных учреждений;</w:t>
            </w:r>
          </w:p>
          <w:p w14:paraId="3DA6DF0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составления, утверждения и ведения плана финансово-хозяйственной деятельности бюджетных и автономных учреждений;</w:t>
            </w:r>
          </w:p>
          <w:p w14:paraId="45C8091B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использования государственной (муниципальной) собственности;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35AA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6D28219D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652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CEA7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A6D9578" w14:textId="77777777" w:rsidR="00D043E9" w:rsidRPr="00651E00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43E9"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действующие нормативные правовые акты, регулирующие порядок планирования и финансирования деятельности государственных и муниципальных учреждений, в своей профессиональной деятельности; </w:t>
            </w:r>
          </w:p>
          <w:p w14:paraId="290BC3EF" w14:textId="77777777" w:rsidR="00D043E9" w:rsidRPr="00651E00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 плановых показателей по поступлениям и выплатам государственных и муниципальных учреждений; </w:t>
            </w:r>
          </w:p>
          <w:p w14:paraId="43686929" w14:textId="77777777" w:rsidR="00D043E9" w:rsidRPr="00651E00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обоснования расходов казенных учреждений; </w:t>
            </w:r>
          </w:p>
          <w:p w14:paraId="179732B9" w14:textId="77777777" w:rsidR="003659A1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выполнять расчеты плановых размеров заработной платы работников государственных и муниципальных учреждений.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9B1B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F80647F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79E76D3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60FB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Сбор данных и подготовка закупочной документации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5F57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59A1" w14:paraId="0626600C" w14:textId="77777777" w:rsidTr="00365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387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653A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EE268F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основные положения законодательства Российской Федерации и нормативные правовые акты, регулирующие деятельность в сфере закупок;</w:t>
            </w:r>
          </w:p>
          <w:p w14:paraId="3C49F02D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составления закупочной документации, методы определения и обоснования начальных (максимальных) цен контракта и порядок организации проведения закупок;</w:t>
            </w:r>
          </w:p>
          <w:p w14:paraId="7B8FCFFA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требования законодательства Российской Федерации и иных нормативных правовых актов, регулирующих деятельность в сфере закупок;</w:t>
            </w:r>
          </w:p>
          <w:p w14:paraId="572A9DA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особенности проведения закупок товаров, работ, услуг отдельными видами юридических лиц;</w:t>
            </w:r>
          </w:p>
          <w:p w14:paraId="18EF2F58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основные контрольные мероприятия при осуществлении закупок для государственных (муниципальных) нужд.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F95E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44D382A4" w14:textId="77777777" w:rsidTr="00365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581F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53BC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AD2F29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разрабатывать закупочную документацию;</w:t>
            </w:r>
          </w:p>
          <w:p w14:paraId="38F705E5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обобщать полученную информацию, цены на товары, работы, услуги, статистически ее обрабатывать и формулировать аналитические выводы;</w:t>
            </w:r>
          </w:p>
          <w:p w14:paraId="77A9FF6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проверку необходимой документации для проведения закупочной процедуры;</w:t>
            </w:r>
          </w:p>
          <w:p w14:paraId="4FB7EAC2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проверять необходимую документацию для заключения контрактов;</w:t>
            </w:r>
          </w:p>
          <w:p w14:paraId="5DB5F44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производить расчеты потребностей для осуществления закупок для государственных и муниципальных нужд;</w:t>
            </w:r>
          </w:p>
          <w:p w14:paraId="286A60C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обобщать и анализировать информацию о ценах на товары, работы, услуги в сфере закупок;</w:t>
            </w:r>
          </w:p>
          <w:p w14:paraId="140E8EB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описывать объект закупки и обосновывать начальную (максимальную) цену закупки;</w:t>
            </w:r>
          </w:p>
          <w:p w14:paraId="0D863B6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- осуществлять мониторинг поставщиков (подрядчиков, исполнителей) в сфере закупок;</w:t>
            </w:r>
          </w:p>
          <w:p w14:paraId="71A1C35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проверять необходимую документацию для проведения закупочной процедуры и заключения контрактов;</w:t>
            </w:r>
          </w:p>
          <w:p w14:paraId="65CFFA82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проверку соблюдения требований законодательства при проведении закупочных процедур.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2AA9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7A121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3FD1068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0E6B4013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385D329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32" w:type="pct"/>
        <w:jc w:val="center"/>
        <w:tblLayout w:type="fixed"/>
        <w:tblLook w:val="04A0" w:firstRow="1" w:lastRow="0" w:firstColumn="1" w:lastColumn="0" w:noHBand="0" w:noVBand="1"/>
      </w:tblPr>
      <w:tblGrid>
        <w:gridCol w:w="1626"/>
        <w:gridCol w:w="562"/>
        <w:gridCol w:w="993"/>
        <w:gridCol w:w="1108"/>
        <w:gridCol w:w="1106"/>
        <w:gridCol w:w="1108"/>
        <w:gridCol w:w="2902"/>
      </w:tblGrid>
      <w:tr w:rsidR="00F10695" w:rsidRPr="00F10695" w14:paraId="796A9696" w14:textId="77777777" w:rsidTr="00E90804">
        <w:trPr>
          <w:trHeight w:val="944"/>
          <w:tblHeader/>
          <w:jc w:val="center"/>
        </w:trPr>
        <w:tc>
          <w:tcPr>
            <w:tcW w:w="3457" w:type="pct"/>
            <w:gridSpan w:val="6"/>
            <w:shd w:val="clear" w:color="auto" w:fill="92D050"/>
            <w:vAlign w:val="center"/>
          </w:tcPr>
          <w:p w14:paraId="00029B36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43" w:type="pct"/>
            <w:shd w:val="clear" w:color="auto" w:fill="92D050"/>
            <w:vAlign w:val="center"/>
          </w:tcPr>
          <w:p w14:paraId="7F09112C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9E4CBC9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E90804" w:rsidRPr="00F10695" w14:paraId="19D3D7BB" w14:textId="77777777" w:rsidTr="00E90804">
        <w:trPr>
          <w:trHeight w:val="50"/>
          <w:jc w:val="center"/>
        </w:trPr>
        <w:tc>
          <w:tcPr>
            <w:tcW w:w="864" w:type="pct"/>
            <w:vMerge w:val="restart"/>
            <w:shd w:val="clear" w:color="auto" w:fill="92D050"/>
            <w:vAlign w:val="center"/>
          </w:tcPr>
          <w:p w14:paraId="091FFE05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9" w:type="pct"/>
            <w:shd w:val="clear" w:color="auto" w:fill="92D050"/>
            <w:vAlign w:val="center"/>
          </w:tcPr>
          <w:p w14:paraId="2B60AD4E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00B050"/>
            <w:vAlign w:val="center"/>
          </w:tcPr>
          <w:p w14:paraId="36E5589C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89" w:type="pct"/>
            <w:shd w:val="clear" w:color="auto" w:fill="00B050"/>
            <w:vAlign w:val="center"/>
          </w:tcPr>
          <w:p w14:paraId="1785394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88" w:type="pct"/>
            <w:shd w:val="clear" w:color="auto" w:fill="00B050"/>
            <w:vAlign w:val="center"/>
          </w:tcPr>
          <w:p w14:paraId="6CF2519F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89" w:type="pct"/>
            <w:shd w:val="clear" w:color="auto" w:fill="00B050"/>
            <w:vAlign w:val="center"/>
          </w:tcPr>
          <w:p w14:paraId="273226E4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43" w:type="pct"/>
            <w:shd w:val="clear" w:color="auto" w:fill="00B050"/>
            <w:vAlign w:val="center"/>
          </w:tcPr>
          <w:p w14:paraId="4A0AC27B" w14:textId="77777777" w:rsidR="00E90804" w:rsidRPr="00F10695" w:rsidRDefault="00E90804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90804" w:rsidRPr="00F10695" w14:paraId="21A1337C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6F07DBC0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B864525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28" w:type="pct"/>
            <w:vAlign w:val="center"/>
          </w:tcPr>
          <w:p w14:paraId="0917619B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" w:type="pct"/>
            <w:vAlign w:val="center"/>
          </w:tcPr>
          <w:p w14:paraId="61081D8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8" w:type="pct"/>
            <w:vAlign w:val="center"/>
          </w:tcPr>
          <w:p w14:paraId="0F616996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vAlign w:val="center"/>
          </w:tcPr>
          <w:p w14:paraId="271C530B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4AAA5A4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7C76138F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4040EAA6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576AA8A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28" w:type="pct"/>
            <w:vAlign w:val="center"/>
          </w:tcPr>
          <w:p w14:paraId="0479278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9" w:type="pct"/>
            <w:vAlign w:val="center"/>
          </w:tcPr>
          <w:p w14:paraId="36ED629F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4BED30AC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5711830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EB9E43F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90804" w:rsidRPr="00F10695" w14:paraId="3C7ADB76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58D94A83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30C5D48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28" w:type="pct"/>
            <w:vAlign w:val="center"/>
          </w:tcPr>
          <w:p w14:paraId="2C6356E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9" w:type="pct"/>
            <w:vAlign w:val="center"/>
          </w:tcPr>
          <w:p w14:paraId="7A094A7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517A5E5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E8228EA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26875C5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90804" w:rsidRPr="00F10695" w14:paraId="7C2AB760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50420FF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16C39C0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28" w:type="pct"/>
            <w:vAlign w:val="center"/>
          </w:tcPr>
          <w:p w14:paraId="7FF0303F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C77D540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8" w:type="pct"/>
            <w:vAlign w:val="center"/>
          </w:tcPr>
          <w:p w14:paraId="5C3CD589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4D8C81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B8082E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E90804" w:rsidRPr="00F10695" w14:paraId="73A1324B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0DC9C774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0F55E1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28" w:type="pct"/>
            <w:vAlign w:val="center"/>
          </w:tcPr>
          <w:p w14:paraId="3026A37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559FEA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8" w:type="pct"/>
            <w:vAlign w:val="center"/>
          </w:tcPr>
          <w:p w14:paraId="788AE7CA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03EB2726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F498C8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90804" w:rsidRPr="00F10695" w14:paraId="1DF35838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0A134EE0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1C5A2F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28" w:type="pct"/>
            <w:vAlign w:val="center"/>
          </w:tcPr>
          <w:p w14:paraId="3608E0E7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0DA8C03C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1DE367C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9" w:type="pct"/>
            <w:vAlign w:val="center"/>
          </w:tcPr>
          <w:p w14:paraId="38104C87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454A2B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90804" w:rsidRPr="00F10695" w14:paraId="13BB3D75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1B8C1AF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68F409B0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8" w:type="pct"/>
            <w:vAlign w:val="center"/>
          </w:tcPr>
          <w:p w14:paraId="7524A476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19C648EB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66E8113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9" w:type="pct"/>
            <w:vAlign w:val="center"/>
          </w:tcPr>
          <w:p w14:paraId="6FE8A359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ACF74A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48C4907A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11315E9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E076DD9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8" w:type="pct"/>
            <w:vAlign w:val="center"/>
          </w:tcPr>
          <w:p w14:paraId="6E0DFC3D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992AB4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7AC13A53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1E76E3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B71AC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90804" w:rsidRPr="00F10695" w14:paraId="4F1F3575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37E76C9E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43EAA23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8" w:type="pct"/>
            <w:vAlign w:val="center"/>
          </w:tcPr>
          <w:p w14:paraId="3311D82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E9E4F6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2A58BFDE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9C569E3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57BF2D3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3C1B2CF5" w14:textId="77777777" w:rsidTr="00E90804">
        <w:trPr>
          <w:trHeight w:val="50"/>
          <w:jc w:val="center"/>
        </w:trPr>
        <w:tc>
          <w:tcPr>
            <w:tcW w:w="1163" w:type="pct"/>
            <w:gridSpan w:val="2"/>
            <w:shd w:val="clear" w:color="auto" w:fill="00B050"/>
            <w:vAlign w:val="center"/>
          </w:tcPr>
          <w:p w14:paraId="7B52BB2B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2FE34F84" w14:textId="77777777" w:rsidR="00E90804" w:rsidRPr="00F10695" w:rsidRDefault="00F61460" w:rsidP="00F10695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3E6E4E33" w14:textId="77777777" w:rsidR="00E90804" w:rsidRPr="00F10695" w:rsidRDefault="00F61460" w:rsidP="00F10695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8BACCCD" w14:textId="77777777" w:rsidR="00E90804" w:rsidRPr="00F10695" w:rsidRDefault="00F61460" w:rsidP="00F10695">
            <w:pPr>
              <w:ind w:left="-161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214F98E2" w14:textId="77777777" w:rsidR="00E90804" w:rsidRPr="00F10695" w:rsidRDefault="00F61460" w:rsidP="00F10695">
            <w:pPr>
              <w:ind w:left="-42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5A8E9BA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7998892B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6BD3327A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204455E7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8A041D3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370A43B9" w14:textId="77777777" w:rsidR="00A8665E" w:rsidRDefault="00A8665E" w:rsidP="00A8665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A8665E" w14:paraId="5BF1642B" w14:textId="77777777" w:rsidTr="00667281"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D4E4A7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54A958" w14:textId="77777777" w:rsidR="00A8665E" w:rsidRDefault="00A866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8665E" w14:paraId="502D984C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69C9F3C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95A3ED" w14:textId="77777777" w:rsidR="00A8665E" w:rsidRDefault="001A46AD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Финансовый анализ и оценка финансовых рисков</w:t>
            </w:r>
            <w:r w:rsidR="00A8665E">
              <w:rPr>
                <w:b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0D9" w14:textId="393D6C52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понимание системы управления финансами, планирования и анализа в организациях коммерческой сферы, умение анализировать динамику и структуру активов и пассивов организации, ее доходов и расходов, рассчитывать основные финансовые коэффициенты, владеть инструментами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 xml:space="preserve">, давать экономическую интерпретацию каждому </w:t>
            </w:r>
            <w:r>
              <w:rPr>
                <w:sz w:val="24"/>
                <w:szCs w:val="24"/>
              </w:rPr>
              <w:lastRenderedPageBreak/>
              <w:t>рассчитанному показателю, оценивать в динамике, делать выводы о финансовом состоянии</w:t>
            </w:r>
            <w:r w:rsidR="003B20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предприятия, выявлять основные риски предприятия, предлагать мероприятия по повышению эффективности деятельности и предотвращению рисков.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0D1C03E4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387202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7A5467" w14:textId="77777777" w:rsidR="00A8665E" w:rsidRDefault="00A8665E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Планирование и анализ показателей бюджетов бюджетной системы РФ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433" w14:textId="77777777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умение </w:t>
            </w:r>
            <w:r w:rsidR="00A9229E">
              <w:rPr>
                <w:sz w:val="24"/>
                <w:szCs w:val="24"/>
              </w:rPr>
              <w:t xml:space="preserve">составлять </w:t>
            </w:r>
            <w:r>
              <w:rPr>
                <w:sz w:val="24"/>
                <w:szCs w:val="24"/>
              </w:rPr>
              <w:t xml:space="preserve">бюджеты бюджетной системы РФ, проводить анализ доходов и расходов бюджета, рассчитывать основные показатели состояния и исполнения бюджетов, проводить расчеты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, уметь прогнозировать показатели бюджета на очередной финансовой год, а также сформулировать выводы и выявить риски, определять рекомендации по повышению собираемости налоговых доходов и эффективному распределению расходов в соответствии с целевыми федеральными программами.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4A4B9F6F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6CDF2D6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E9A747" w14:textId="77777777" w:rsidR="00A8665E" w:rsidRDefault="00A8665E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Организация </w:t>
            </w:r>
            <w:r w:rsidR="00F46492">
              <w:rPr>
                <w:b/>
                <w:color w:val="000000"/>
                <w:sz w:val="24"/>
                <w:szCs w:val="24"/>
              </w:rPr>
              <w:t>налоговых расчетов, администрирования, консультирования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16BA" w14:textId="77777777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умение проводить расчеты с бюджетами бюджетной системы РФ, исчислять основные налоги, знать налоговое законодательство, сроки уплаты налогов, осуществлять налоговый контроль.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6F831457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2303233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02B64E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Составление плановых документов и осуществление закупок государственными и муниципальными учреждениями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7C3" w14:textId="04714E8C" w:rsidR="00A8665E" w:rsidRDefault="00A8665E">
            <w:pPr>
              <w:widowControl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Критерий оценивает умение осуществлять финансовое планирование и анализ основных отчетных документов, таких как план финансово-хозяйственной деятельности, бюджетная смета и т.п., владеть методами анализа исполнения поступлений и платежей бюджетного учреждения, </w:t>
            </w:r>
            <w:r>
              <w:rPr>
                <w:spacing w:val="2"/>
                <w:sz w:val="24"/>
                <w:szCs w:val="24"/>
              </w:rPr>
              <w:t>рассчитывать основные показатели деятельности бюджетных и автономных учреждений</w:t>
            </w:r>
            <w:r>
              <w:rPr>
                <w:sz w:val="24"/>
                <w:szCs w:val="24"/>
              </w:rPr>
              <w:t xml:space="preserve">, давать рекомендации по повышению эффективности финансового планирования. Также критерий оценивает умение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разрабатывать закупочную документацию, </w:t>
            </w:r>
            <w:r>
              <w:rPr>
                <w:spacing w:val="2"/>
                <w:sz w:val="24"/>
                <w:szCs w:val="24"/>
              </w:rPr>
              <w:t>производить расчеты потребностей для осуществления закупок для государственных и муниципальных нужд, обобщать и анализировать информацию о ценах на товары, работы, услуги в сфере закупок, осуществлять мониторинг поставщиков (подрядчиков, исполнителей) в сфере закупок.</w:t>
            </w:r>
            <w:r w:rsidR="003B2049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Разбивка оценок по каждому из критериев определяется спецификацией </w:t>
            </w:r>
            <w:r>
              <w:rPr>
                <w:sz w:val="24"/>
                <w:szCs w:val="24"/>
              </w:rPr>
              <w:lastRenderedPageBreak/>
              <w:t>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14:paraId="12B03B27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A103A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14:paraId="01AD385F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D5849EF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F194338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3734B3C1" w14:textId="09DF12A6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BE0C90D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798E0509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8641A49" w14:textId="4DDB3036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135151A4" w14:textId="53BD5802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 модуль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31B5C25E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24EE560F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6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Финансовый анализ и оценка финансовых рисков </w:t>
      </w:r>
      <w:r w:rsidR="001A46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организации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нвариант)</w:t>
      </w:r>
    </w:p>
    <w:p w14:paraId="666842FB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>6 часов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48DE869A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BDE9F9C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Конкурсанту предложен профессиональный кейс, содержащий информацию (формы бухгалтерской отчетности), необходимую для проведения комплексного финансового анализа коммерческой организации. </w:t>
      </w:r>
    </w:p>
    <w:p w14:paraId="469DD918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кейса Конкурсанту необходимо:</w:t>
      </w:r>
    </w:p>
    <w:p w14:paraId="309E5B1E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анализ динамики</w:t>
      </w:r>
      <w:r w:rsidR="00605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структуры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активов и пассивов бухгалтерского баланса;</w:t>
      </w:r>
    </w:p>
    <w:p w14:paraId="461A48DE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анализ динамики </w:t>
      </w:r>
      <w:r w:rsidR="00605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структуры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доходов и расходов коммерческой организации;</w:t>
      </w:r>
    </w:p>
    <w:p w14:paraId="796A449C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группировку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активов</w:t>
      </w:r>
      <w:r>
        <w:rPr>
          <w:rFonts w:ascii="Times New Roman" w:hAnsi="Times New Roman"/>
          <w:sz w:val="28"/>
          <w:szCs w:val="28"/>
        </w:rPr>
        <w:t xml:space="preserve"> по степени ликвидности, пассивов по степени погашения обязательств;</w:t>
      </w:r>
    </w:p>
    <w:p w14:paraId="7CD71E50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основные группы финансовых коэффициентов: ликвидности, финансовой устойчивости, рентабельности и оборачиваемости;</w:t>
      </w:r>
    </w:p>
    <w:p w14:paraId="63B2D6D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финансовой устойчивости по методике трехкомпонентного показателя;</w:t>
      </w:r>
    </w:p>
    <w:p w14:paraId="5EE84EE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показатели финансового рычага;</w:t>
      </w:r>
    </w:p>
    <w:p w14:paraId="1128674A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платежный календарь;</w:t>
      </w:r>
    </w:p>
    <w:p w14:paraId="560F3429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матрицы финансирования и определить тип финансирования компании;</w:t>
      </w:r>
    </w:p>
    <w:p w14:paraId="2050DE2A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анализ вероятности банкротства с обоснованием выбора оптимальной модели расчета; </w:t>
      </w:r>
    </w:p>
    <w:p w14:paraId="5967BFD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расчеты (составить аналитические таблицы) в ПО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C382326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диаграммы по горизонтальному и вертикальному анализу, основным финансовым коэффициентам;</w:t>
      </w:r>
    </w:p>
    <w:p w14:paraId="10A96CE8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сформулировать выводы по результатам проведенного анализа;</w:t>
      </w:r>
    </w:p>
    <w:p w14:paraId="4EC3BCBF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основные негативные тенденции по результатам проведенного анализа;</w:t>
      </w:r>
    </w:p>
    <w:p w14:paraId="462CDBA1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мероприятия для улучшения финансового положения;</w:t>
      </w:r>
    </w:p>
    <w:p w14:paraId="41F28D13" w14:textId="77777777" w:rsidR="00FD6683" w:rsidRDefault="00FD6683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оценку эффективности предложенных мероприятий;</w:t>
      </w:r>
    </w:p>
    <w:p w14:paraId="111AE6B9" w14:textId="77777777" w:rsidR="00FD6683" w:rsidRDefault="00FD6683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финансовые риски с классификацией степени угрозы;</w:t>
      </w:r>
    </w:p>
    <w:p w14:paraId="5012125C" w14:textId="77777777" w:rsidR="00655EFB" w:rsidRDefault="00004302" w:rsidP="00655EFB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дорожную карту финансовых рисков;</w:t>
      </w:r>
    </w:p>
    <w:p w14:paraId="60573461" w14:textId="77777777" w:rsidR="007B2937" w:rsidRPr="00FD6683" w:rsidRDefault="00FD6683" w:rsidP="00FD6683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мероприятия по внедрению принципов бережливого производства в работу финансового отдела.</w:t>
      </w:r>
    </w:p>
    <w:p w14:paraId="0C8148BB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56CFD917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C8392B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Конкурсанту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создать и сохранить в электронном виде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46237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бухгалтерскую отчетность организации;</w:t>
      </w:r>
    </w:p>
    <w:p w14:paraId="37CAE44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проведенного анализа (аналитические таблицы);</w:t>
      </w:r>
    </w:p>
    <w:p w14:paraId="7DA4F23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по оценке эффективности предложенных мероприятий (аналитические таблицы) с обоснованием;</w:t>
      </w:r>
    </w:p>
    <w:p w14:paraId="3BEC9061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графики, выводы, риски, недостатки, предложения и мероприятия.</w:t>
      </w:r>
    </w:p>
    <w:p w14:paraId="7D6BAAD5" w14:textId="77777777" w:rsidR="007B2937" w:rsidRDefault="007B2937" w:rsidP="007B29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5A62A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9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Планирование и анализ показателей бюджетов бюджетной системы РФ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нвариант)</w:t>
      </w:r>
    </w:p>
    <w:p w14:paraId="70446B9A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>4 часа 00 минут</w:t>
      </w:r>
    </w:p>
    <w:p w14:paraId="0BE0E4B1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DB20396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Конкурсанту предложен профессиональный кейс, содержащий информацию по основным показателям бюджета муниципального образования. </w:t>
      </w:r>
    </w:p>
    <w:p w14:paraId="41406E8E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кейса Конкурсанту необходимо:</w:t>
      </w:r>
    </w:p>
    <w:p w14:paraId="5FDE07FD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бюджет муниципального образования; </w:t>
      </w:r>
    </w:p>
    <w:p w14:paraId="63E55CE9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структуры доходов бюджета муниципального образования;</w:t>
      </w:r>
    </w:p>
    <w:p w14:paraId="712A34FA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структуры расходов бюджета муниципального образования;</w:t>
      </w:r>
    </w:p>
    <w:p w14:paraId="7B3F4EF5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состояние (дефицит/профицит) бюджета муниципального образования;</w:t>
      </w:r>
    </w:p>
    <w:p w14:paraId="46C4FBD3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источники финансирования дефицита бюджета или дополнительные направления бюджетных средств;</w:t>
      </w:r>
    </w:p>
    <w:p w14:paraId="0DFD9A02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показатели эффективности использования бюджетных средств;</w:t>
      </w:r>
    </w:p>
    <w:p w14:paraId="5509F5B9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исполнения бюджета муниципального образования;</w:t>
      </w:r>
    </w:p>
    <w:p w14:paraId="7A24A07B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диаграммы по основным результатам проведенного анализа;</w:t>
      </w:r>
    </w:p>
    <w:p w14:paraId="6A2D8C90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сформулировать основные выводы по результатам проведенного анализа;</w:t>
      </w:r>
    </w:p>
    <w:p w14:paraId="70765025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основные негативные тенденции и риски по результатам проведенного анализа;</w:t>
      </w:r>
    </w:p>
    <w:p w14:paraId="05ED817F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определить показатели проекта бюджета муниципального образования;</w:t>
      </w:r>
    </w:p>
    <w:p w14:paraId="038DA7E7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основные федеральные целевые программы;</w:t>
      </w:r>
    </w:p>
    <w:p w14:paraId="6C6EF652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подготовить рекомендации, направленные на повышение эффективности  планирования и использования средств бюджета;</w:t>
      </w:r>
    </w:p>
    <w:p w14:paraId="77ECAAD6" w14:textId="77777777" w:rsidR="007B2937" w:rsidRPr="00655EFB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предложить мероприятия по предупреждению, выявлению и пресечению нарушений законодательства Российской Федерации в бюджетной сфере</w:t>
      </w:r>
      <w:r w:rsidR="00655EF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D62C81B" w14:textId="77777777" w:rsidR="00655EFB" w:rsidRDefault="00655EFB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предложить мероприятия по внедрению принципов бережливого производства в бюджетной сфере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1A39118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5B022507" w14:textId="77777777" w:rsidR="007B2937" w:rsidRDefault="007B2937" w:rsidP="007B29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53592D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создать и сохранить в электронном виде в формате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.xlsx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91192C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проведенного анализа (аналитические таблицы); </w:t>
      </w:r>
    </w:p>
    <w:p w14:paraId="6D7F7058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показатели проекта бюджета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D05C51F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графики, выводы, риски, недостатки, предложения и мероприятия, перечень ФЦП.</w:t>
      </w:r>
    </w:p>
    <w:p w14:paraId="7168187D" w14:textId="77777777" w:rsidR="007B2937" w:rsidRDefault="007B2937" w:rsidP="007B2937">
      <w:pPr>
        <w:widowControl w:val="0"/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8078A2" w14:textId="77777777" w:rsidR="007B2937" w:rsidRPr="00F46492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6492"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Организация налоговых расчетов, администрирования, консультирования </w:t>
      </w:r>
      <w:r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>(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>и</w:t>
      </w:r>
      <w:r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>нвариант)</w:t>
      </w:r>
    </w:p>
    <w:p w14:paraId="78A0B730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229E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48A0B28F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57EEF72F" w14:textId="77777777" w:rsidR="007B2937" w:rsidRDefault="007B2937" w:rsidP="007B293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предложены профессиональные кейсы, содержащие информацию для расчета и контроля налоговых и других обязательных платежей. </w:t>
      </w:r>
    </w:p>
    <w:p w14:paraId="058D9ABF" w14:textId="77777777" w:rsidR="007B2937" w:rsidRDefault="007B2937" w:rsidP="007B2937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составить расчеты на основании исходных данных и требований НК РФ:</w:t>
      </w:r>
    </w:p>
    <w:p w14:paraId="24764E9B" w14:textId="77777777" w:rsidR="007B2937" w:rsidRDefault="007B2937" w:rsidP="007B2937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часть 1:</w:t>
      </w:r>
    </w:p>
    <w:p w14:paraId="69B2532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рассчитать налогооблагаемую базу, сумму налогов за налоговый период НДС и налога на прибыль организации;</w:t>
      </w:r>
    </w:p>
    <w:p w14:paraId="792C8D2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ответственность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участников налоговых отношений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D30F647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2:</w:t>
      </w:r>
    </w:p>
    <w:p w14:paraId="1A64D03F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правильность исчисления налогооблагаемой базы, суммы налогов и сборов, взносов во внебюджетные фонды за налоговый период: НДФЛ и страховых взносов;</w:t>
      </w:r>
    </w:p>
    <w:p w14:paraId="2895BB2F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согласно нормативной базе отчисления налогов, сборов и взносов в бюджетные и внебюджетные фонды.</w:t>
      </w:r>
    </w:p>
    <w:p w14:paraId="133AB9B1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4EF276F1" w14:textId="77777777" w:rsidR="007B2937" w:rsidRDefault="007B2937" w:rsidP="007B2937">
      <w:pPr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C9EBDE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итогам выполнения задания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сохранить в электронном виде пакет документации (в формате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docx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xlsx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), включающий:</w:t>
      </w:r>
    </w:p>
    <w:p w14:paraId="4B6A883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поставленных задач с пояснениями;</w:t>
      </w:r>
    </w:p>
    <w:p w14:paraId="50F80396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обнаруженных при проведении контроля ошибок с обоснованием и исправленными расчетами.</w:t>
      </w:r>
    </w:p>
    <w:p w14:paraId="55AE8362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F3240A" w14:textId="77777777" w:rsidR="007B2937" w:rsidRP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9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Составление плановых документов и осуществление закупок государственными и муниципальными учреждениями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(вариатив)</w:t>
      </w:r>
    </w:p>
    <w:p w14:paraId="64BA5A83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229E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5C2F4D59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DB72F8B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Конкурсанту предложен профессиональный кейс, содержащий информацию о деятельности бюджетного учреждения, необходимую для формирования плановых документов и осуществления закупок на предстоящий период. </w:t>
      </w:r>
    </w:p>
    <w:p w14:paraId="17A7A3AB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кейсов Конкурсанту необходимо:</w:t>
      </w:r>
    </w:p>
    <w:p w14:paraId="153E8521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1:</w:t>
      </w:r>
    </w:p>
    <w:p w14:paraId="1A860AB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основе исходных данных составить план ФХД бюджетного учреждения;</w:t>
      </w:r>
    </w:p>
    <w:p w14:paraId="235521F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сделать основные выводы по результатам финансового планирования;</w:t>
      </w:r>
    </w:p>
    <w:p w14:paraId="140599CA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недостатки и риски в финансовом планировании бюджетного учреждения;</w:t>
      </w:r>
    </w:p>
    <w:p w14:paraId="35E99AAC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дать рекомендации по повышению финансового планирования бюджетного учреждения.</w:t>
      </w:r>
    </w:p>
    <w:p w14:paraId="5DDF8C7A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2:</w:t>
      </w:r>
    </w:p>
    <w:p w14:paraId="641D15E9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спецификацию (техническое задание) закупаемой продукции;</w:t>
      </w:r>
    </w:p>
    <w:p w14:paraId="4ADE7392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требования к поставщикам;</w:t>
      </w:r>
    </w:p>
    <w:p w14:paraId="53047F68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способы размещения заказа для определенного вида продукции;</w:t>
      </w:r>
    </w:p>
    <w:p w14:paraId="6E988AA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провести расчет НМЦК;</w:t>
      </w:r>
    </w:p>
    <w:p w14:paraId="6D0CFD2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риски, которые могут возникать при закупке и при исполнении контракта у участников закупки (заказчика, поставщика, исполнителя, подрядчика);</w:t>
      </w:r>
    </w:p>
    <w:p w14:paraId="2658364E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предложить меры, которые необходимо предпринять для предотвращения рисков при закупке;</w:t>
      </w:r>
    </w:p>
    <w:p w14:paraId="21281B4A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правомерность или неправомерность действий участников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AABAE4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определить штрафы и пени за ненадлежащее исполнение контракта;</w:t>
      </w:r>
    </w:p>
    <w:p w14:paraId="47492C0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план подготовки и проведения закупки (сроки, действия)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D2A499A" w14:textId="77777777" w:rsidR="00FD6683" w:rsidRDefault="00FD6683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предложить мероприятия по внедрению принципов бережливого производства.</w:t>
      </w:r>
    </w:p>
    <w:p w14:paraId="3A5682F8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23EB3EC2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выполнения задания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сохранить в электронном виде пакет документации, включающий:</w:t>
      </w:r>
    </w:p>
    <w:p w14:paraId="12D36A1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составленный ПФХД бюджетного учреждения с комментариями в формате .xlsx;</w:t>
      </w:r>
    </w:p>
    <w:p w14:paraId="53992D5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поставленных задач с пояснениями: осуществление закупок бюджетным учреждением в формате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docx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6C9B80" w14:textId="77777777" w:rsidR="007B2937" w:rsidRDefault="007B2937" w:rsidP="007B293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F9648E0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4376AF3D" w14:textId="77777777" w:rsidR="007B2937" w:rsidRDefault="007B2937" w:rsidP="007B293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конкурса. Чемпионат по компетенции «Финансы» необходимо проводить только в одну смену.</w:t>
      </w:r>
    </w:p>
    <w:p w14:paraId="3B2D865C" w14:textId="77777777" w:rsidR="007B2937" w:rsidRDefault="007B2937" w:rsidP="007B293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Все записи, выполненные конкурсантом на рабочем месте, должны оставаться на рабочем столе конкурсанта после окончания модуля.</w:t>
      </w:r>
    </w:p>
    <w:p w14:paraId="5C885109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ТОЛЬКО результат выполнения задания (сохраненные документы, файлы) или установленный факт (нарушение правил). Оценка конкурсных заданий осуществляется по итогам каждого модуля. </w:t>
      </w:r>
    </w:p>
    <w:p w14:paraId="7499A966" w14:textId="77777777" w:rsidR="007B2937" w:rsidRDefault="007B2937" w:rsidP="00FD6683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выполненных конкурсных заданий работы конкурсантов кодируются. После того, как конкурсанты завершили модуль, выполненные конкурсные задания собираются, и Главный эксперт кодирует собранные задания секретным номером</w:t>
      </w:r>
      <w:r w:rsidR="00F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присутствии трех экспертов-наставников, не участвующих в оценке данных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в оценочных группах не будет возможности сопоставить работу с конкретным Конкурсантом. С рабочих мест Конкурсантов и выполненных конкурсных заданий должны быть убраны любые обозначения принадлежности работ участникам. </w:t>
      </w:r>
    </w:p>
    <w:p w14:paraId="460493CF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становится очевидно, что действия участника соревнований, приведшие к нарушению Регламента, были совершены осознанно и преднамеренно, к нему применяются следующие санкции:</w:t>
      </w:r>
    </w:p>
    <w:p w14:paraId="38A73973" w14:textId="61901C09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конкурсант был замечен в использовании </w:t>
      </w:r>
      <w:r w:rsidR="003B2049">
        <w:rPr>
          <w:rFonts w:ascii="Times New Roman" w:eastAsia="Calibri" w:hAnsi="Times New Roman" w:cs="Times New Roman"/>
          <w:sz w:val="28"/>
          <w:szCs w:val="28"/>
          <w:lang w:eastAsia="ru-RU"/>
        </w:rPr>
        <w:t>не регламентируемых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облачных хранилищ и ресурсов: снятие баллов за модуль, при выполнении которого был обнаружен данный факт (50%);</w:t>
      </w:r>
    </w:p>
    <w:p w14:paraId="0253D509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обнаружение у участника на площадке запрещенных средств связи приводит к снятию баллов за данный модуль (</w:t>
      </w:r>
      <w:r w:rsidR="00316AB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0%) или к отстранению от соревнований;</w:t>
      </w:r>
    </w:p>
    <w:p w14:paraId="65206F18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обнаружение у участника на площадке любых видов памяти (накопителей), в том числе и любых устройств с USB-разъемом, приводит к снятию баллов данного модуля (</w:t>
      </w:r>
      <w:r w:rsidR="00316AB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0%) или отстранению от соревнований;</w:t>
      </w:r>
    </w:p>
    <w:p w14:paraId="2852C7BC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нарушивший правила поведения/правила ОТ и ТБ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</w:t>
      </w:r>
      <w:r w:rsidR="00316A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снятие баллов по данному разделу соответствующего модуля.</w:t>
      </w:r>
    </w:p>
    <w:p w14:paraId="0AC543E1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некорректного или грубого поведения наставника, его попыток вмешиваться в работу оценивающей группы и других нарушениях Кодекса этики, такое нарушение фиксируется и составляется протокол с решением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удалении данного эксперта или наставника с площадки вплоть до конца проведения соревнований.</w:t>
      </w:r>
    </w:p>
    <w:p w14:paraId="4CC9B447" w14:textId="77777777" w:rsidR="00D17132" w:rsidRPr="00B33456" w:rsidRDefault="00D17132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5E1B4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6F80B564" w14:textId="77777777" w:rsidR="00E15F2A" w:rsidRPr="00B33456" w:rsidRDefault="007B2937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Нулевой</w:t>
      </w:r>
    </w:p>
    <w:p w14:paraId="37BBB909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37B663EA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14:paraId="6B23D315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Toc142037194"/>
      <w:r>
        <w:rPr>
          <w:rFonts w:ascii="Times New Roman" w:eastAsia="Times New Roman" w:hAnsi="Times New Roman" w:cs="Times New Roman"/>
          <w:sz w:val="28"/>
          <w:szCs w:val="28"/>
        </w:rPr>
        <w:t>Электронные устройства (планшет, смартфон, мобильный телефон, гарнитура, электронные наручные часы, Bluetooth-устройства и т.п.);</w:t>
      </w:r>
    </w:p>
    <w:p w14:paraId="5865CCFB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жесткие диски,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eastAsia="Times New Roman" w:hAnsi="Times New Roman" w:cs="Times New Roman"/>
          <w:sz w:val="28"/>
          <w:szCs w:val="28"/>
        </w:rPr>
        <w:t>-накопители и другие накопители информации;</w:t>
      </w:r>
    </w:p>
    <w:p w14:paraId="547598DE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3E7654C4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5C9EAE0E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883A88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5B3A5F60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6969DC42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1D33CFE2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67BAC6E6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036D4F6F" w14:textId="77777777"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2937">
        <w:rPr>
          <w:rFonts w:ascii="Times New Roman" w:hAnsi="Times New Roman" w:cs="Times New Roman"/>
          <w:sz w:val="28"/>
          <w:szCs w:val="28"/>
        </w:rPr>
        <w:t>5. Исходные данные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138CFBB1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1294" w14:textId="77777777" w:rsidR="009A4ECF" w:rsidRDefault="009A4ECF" w:rsidP="00970F49">
      <w:pPr>
        <w:spacing w:after="0" w:line="240" w:lineRule="auto"/>
      </w:pPr>
      <w:r>
        <w:separator/>
      </w:r>
    </w:p>
  </w:endnote>
  <w:endnote w:type="continuationSeparator" w:id="0">
    <w:p w14:paraId="16978830" w14:textId="77777777" w:rsidR="009A4ECF" w:rsidRDefault="009A4EC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6B10E5" w14:textId="77777777" w:rsidR="00465470" w:rsidRPr="00AF76EA" w:rsidRDefault="00F1426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470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BE9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B8486" w14:textId="77777777" w:rsidR="009A4ECF" w:rsidRDefault="009A4ECF" w:rsidP="00970F49">
      <w:pPr>
        <w:spacing w:after="0" w:line="240" w:lineRule="auto"/>
      </w:pPr>
      <w:r>
        <w:separator/>
      </w:r>
    </w:p>
  </w:footnote>
  <w:footnote w:type="continuationSeparator" w:id="0">
    <w:p w14:paraId="48131716" w14:textId="77777777" w:rsidR="009A4ECF" w:rsidRDefault="009A4ECF" w:rsidP="00970F49">
      <w:pPr>
        <w:spacing w:after="0" w:line="240" w:lineRule="auto"/>
      </w:pPr>
      <w:r>
        <w:continuationSeparator/>
      </w:r>
    </w:p>
  </w:footnote>
  <w:footnote w:id="1">
    <w:p w14:paraId="5493CE1D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5571436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nsid w:val="3757338C"/>
    <w:multiLevelType w:val="hybridMultilevel"/>
    <w:tmpl w:val="9A02E298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0"/>
  </w:num>
  <w:num w:numId="13">
    <w:abstractNumId w:val="24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4"/>
  </w:num>
  <w:num w:numId="20">
    <w:abstractNumId w:val="17"/>
  </w:num>
  <w:num w:numId="21">
    <w:abstractNumId w:val="12"/>
  </w:num>
  <w:num w:numId="22">
    <w:abstractNumId w:val="4"/>
  </w:num>
  <w:num w:numId="23">
    <w:abstractNumId w:val="1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5"/>
  </w:num>
  <w:num w:numId="27">
    <w:abstractNumId w:val="9"/>
  </w:num>
  <w:num w:numId="28">
    <w:abstractNumId w:val="13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4302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0836"/>
    <w:rsid w:val="000732FF"/>
    <w:rsid w:val="00081D65"/>
    <w:rsid w:val="000971BB"/>
    <w:rsid w:val="000A1F96"/>
    <w:rsid w:val="000A6EF0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754"/>
    <w:rsid w:val="00106738"/>
    <w:rsid w:val="00114D79"/>
    <w:rsid w:val="001229E8"/>
    <w:rsid w:val="00127743"/>
    <w:rsid w:val="00137545"/>
    <w:rsid w:val="001551D4"/>
    <w:rsid w:val="0015561E"/>
    <w:rsid w:val="001627D5"/>
    <w:rsid w:val="0017612A"/>
    <w:rsid w:val="0019355E"/>
    <w:rsid w:val="001A46AD"/>
    <w:rsid w:val="001A67E0"/>
    <w:rsid w:val="001B1F20"/>
    <w:rsid w:val="001B4B65"/>
    <w:rsid w:val="001C1282"/>
    <w:rsid w:val="001C63E7"/>
    <w:rsid w:val="001C7C47"/>
    <w:rsid w:val="001E1DF9"/>
    <w:rsid w:val="00207E02"/>
    <w:rsid w:val="00213AF8"/>
    <w:rsid w:val="00220E70"/>
    <w:rsid w:val="002228E8"/>
    <w:rsid w:val="002271C5"/>
    <w:rsid w:val="00237603"/>
    <w:rsid w:val="00243ADE"/>
    <w:rsid w:val="00245F15"/>
    <w:rsid w:val="00247E8C"/>
    <w:rsid w:val="00267847"/>
    <w:rsid w:val="00270E01"/>
    <w:rsid w:val="002776A1"/>
    <w:rsid w:val="0029547E"/>
    <w:rsid w:val="002A2935"/>
    <w:rsid w:val="002B1426"/>
    <w:rsid w:val="002B3DBB"/>
    <w:rsid w:val="002F2906"/>
    <w:rsid w:val="002F7D8C"/>
    <w:rsid w:val="00316AB9"/>
    <w:rsid w:val="0032065E"/>
    <w:rsid w:val="003242E1"/>
    <w:rsid w:val="00333911"/>
    <w:rsid w:val="00334165"/>
    <w:rsid w:val="003531E7"/>
    <w:rsid w:val="003601A4"/>
    <w:rsid w:val="003659A1"/>
    <w:rsid w:val="0037535C"/>
    <w:rsid w:val="00377D67"/>
    <w:rsid w:val="003815C7"/>
    <w:rsid w:val="003934F8"/>
    <w:rsid w:val="00397A1B"/>
    <w:rsid w:val="003A21C8"/>
    <w:rsid w:val="003B2049"/>
    <w:rsid w:val="003B6085"/>
    <w:rsid w:val="003C1D7A"/>
    <w:rsid w:val="003C5F97"/>
    <w:rsid w:val="003D1E51"/>
    <w:rsid w:val="0040405D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9343C"/>
    <w:rsid w:val="00597E63"/>
    <w:rsid w:val="005A1625"/>
    <w:rsid w:val="005A203B"/>
    <w:rsid w:val="005B05D5"/>
    <w:rsid w:val="005B0DEC"/>
    <w:rsid w:val="005B66FC"/>
    <w:rsid w:val="005C6A23"/>
    <w:rsid w:val="005E30DC"/>
    <w:rsid w:val="00605DD7"/>
    <w:rsid w:val="00605F67"/>
    <w:rsid w:val="0060658F"/>
    <w:rsid w:val="00613219"/>
    <w:rsid w:val="00626A5F"/>
    <w:rsid w:val="0062789A"/>
    <w:rsid w:val="0063396F"/>
    <w:rsid w:val="00637BE9"/>
    <w:rsid w:val="00640E46"/>
    <w:rsid w:val="00641786"/>
    <w:rsid w:val="0064179C"/>
    <w:rsid w:val="00643A8A"/>
    <w:rsid w:val="0064491A"/>
    <w:rsid w:val="00651E00"/>
    <w:rsid w:val="00653B50"/>
    <w:rsid w:val="00655EFB"/>
    <w:rsid w:val="00666BDD"/>
    <w:rsid w:val="00667281"/>
    <w:rsid w:val="006776B4"/>
    <w:rsid w:val="006873B8"/>
    <w:rsid w:val="006A4EFB"/>
    <w:rsid w:val="006B0FEA"/>
    <w:rsid w:val="006B7BC3"/>
    <w:rsid w:val="006B7CD7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57FB"/>
    <w:rsid w:val="007604F9"/>
    <w:rsid w:val="00764773"/>
    <w:rsid w:val="007735DC"/>
    <w:rsid w:val="00782397"/>
    <w:rsid w:val="0078311A"/>
    <w:rsid w:val="00791D70"/>
    <w:rsid w:val="007A61C5"/>
    <w:rsid w:val="007A6888"/>
    <w:rsid w:val="007B0DCC"/>
    <w:rsid w:val="007B2222"/>
    <w:rsid w:val="007B2937"/>
    <w:rsid w:val="007B3FD5"/>
    <w:rsid w:val="007C3E4F"/>
    <w:rsid w:val="007D3601"/>
    <w:rsid w:val="007D6C20"/>
    <w:rsid w:val="007E3277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A3553"/>
    <w:rsid w:val="008B0F23"/>
    <w:rsid w:val="008B560B"/>
    <w:rsid w:val="008C41F7"/>
    <w:rsid w:val="008D44D1"/>
    <w:rsid w:val="008D6DCF"/>
    <w:rsid w:val="008E5424"/>
    <w:rsid w:val="008F0387"/>
    <w:rsid w:val="00900604"/>
    <w:rsid w:val="00901689"/>
    <w:rsid w:val="009018F0"/>
    <w:rsid w:val="00906E82"/>
    <w:rsid w:val="00907854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5642"/>
    <w:rsid w:val="00992D9C"/>
    <w:rsid w:val="009931F0"/>
    <w:rsid w:val="009955F8"/>
    <w:rsid w:val="009A1CBC"/>
    <w:rsid w:val="009A36AD"/>
    <w:rsid w:val="009A4ECF"/>
    <w:rsid w:val="009B18A2"/>
    <w:rsid w:val="009C6127"/>
    <w:rsid w:val="009D04EE"/>
    <w:rsid w:val="009D3768"/>
    <w:rsid w:val="009E37D3"/>
    <w:rsid w:val="009E52E7"/>
    <w:rsid w:val="009E5BD9"/>
    <w:rsid w:val="009F57C0"/>
    <w:rsid w:val="00A034CE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665E"/>
    <w:rsid w:val="00A87627"/>
    <w:rsid w:val="00A90BC1"/>
    <w:rsid w:val="00A91D4B"/>
    <w:rsid w:val="00A9229E"/>
    <w:rsid w:val="00A962D4"/>
    <w:rsid w:val="00A9730F"/>
    <w:rsid w:val="00A9790B"/>
    <w:rsid w:val="00AA2B8A"/>
    <w:rsid w:val="00AA7D9B"/>
    <w:rsid w:val="00AB0F3E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3BC7"/>
    <w:rsid w:val="00C26C83"/>
    <w:rsid w:val="00C31CA1"/>
    <w:rsid w:val="00C34D0A"/>
    <w:rsid w:val="00C473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43E9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B1DD6"/>
    <w:rsid w:val="00DE39D8"/>
    <w:rsid w:val="00DE5614"/>
    <w:rsid w:val="00DF3EBD"/>
    <w:rsid w:val="00E0407E"/>
    <w:rsid w:val="00E04FDF"/>
    <w:rsid w:val="00E15F2A"/>
    <w:rsid w:val="00E279E8"/>
    <w:rsid w:val="00E41CEE"/>
    <w:rsid w:val="00E579D6"/>
    <w:rsid w:val="00E75567"/>
    <w:rsid w:val="00E857D6"/>
    <w:rsid w:val="00E90804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0F71"/>
    <w:rsid w:val="00F067F2"/>
    <w:rsid w:val="00F10695"/>
    <w:rsid w:val="00F10A1C"/>
    <w:rsid w:val="00F14263"/>
    <w:rsid w:val="00F1662D"/>
    <w:rsid w:val="00F3099C"/>
    <w:rsid w:val="00F35F4F"/>
    <w:rsid w:val="00F46492"/>
    <w:rsid w:val="00F50AC5"/>
    <w:rsid w:val="00F6025D"/>
    <w:rsid w:val="00F61460"/>
    <w:rsid w:val="00F672B2"/>
    <w:rsid w:val="00F773D9"/>
    <w:rsid w:val="00F8340A"/>
    <w:rsid w:val="00F83D10"/>
    <w:rsid w:val="00F93643"/>
    <w:rsid w:val="00F96457"/>
    <w:rsid w:val="00F973EF"/>
    <w:rsid w:val="00FB022D"/>
    <w:rsid w:val="00FB1F17"/>
    <w:rsid w:val="00FB3492"/>
    <w:rsid w:val="00FC415A"/>
    <w:rsid w:val="00FC6098"/>
    <w:rsid w:val="00FD20DE"/>
    <w:rsid w:val="00FD4FE9"/>
    <w:rsid w:val="00FD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4E584"/>
  <w15:docId w15:val="{13A93B3F-C2BF-433C-96E5-0AFBC2F2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151B-8EC8-48AF-8ED3-84EE1B18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5840</Words>
  <Characters>33291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Иванова Ольга Федоровна</cp:lastModifiedBy>
  <cp:revision>2</cp:revision>
  <dcterms:created xsi:type="dcterms:W3CDTF">2026-01-19T13:12:00Z</dcterms:created>
  <dcterms:modified xsi:type="dcterms:W3CDTF">2026-01-19T13:12:00Z</dcterms:modified>
</cp:coreProperties>
</file>